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CC" w:rsidRDefault="00712BEC">
      <w:pPr>
        <w:ind w:firstLineChars="200" w:firstLine="420"/>
        <w:jc w:val="left"/>
      </w:pPr>
      <w:bookmarkStart w:id="0" w:name="_GoBack"/>
      <w:bookmarkEnd w:id="0"/>
      <w:r>
        <w:rPr>
          <w:noProof/>
        </w:rPr>
        <w:drawing>
          <wp:inline distT="0" distB="0" distL="0" distR="0">
            <wp:extent cx="5274310" cy="749935"/>
            <wp:effectExtent l="0" t="0" r="2540" b="0"/>
            <wp:docPr id="1" name="图片 1" descr="C:\Users\Administrator\Desktop\640.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640.web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749941"/>
                    </a:xfrm>
                    <a:prstGeom prst="rect">
                      <a:avLst/>
                    </a:prstGeom>
                    <a:noFill/>
                    <a:ln>
                      <a:noFill/>
                    </a:ln>
                  </pic:spPr>
                </pic:pic>
              </a:graphicData>
            </a:graphic>
          </wp:inline>
        </w:drawing>
      </w:r>
    </w:p>
    <w:p w:rsidR="006337CC" w:rsidRDefault="00712BEC">
      <w:pPr>
        <w:widowControl/>
        <w:shd w:val="clear" w:color="auto" w:fill="FFFFFF"/>
        <w:spacing w:before="100" w:beforeAutospacing="1" w:after="100" w:afterAutospacing="1" w:line="480" w:lineRule="atLeast"/>
        <w:jc w:val="right"/>
        <w:rPr>
          <w:rFonts w:ascii="微软雅黑" w:eastAsia="微软雅黑" w:hAnsi="微软雅黑" w:cs="宋体"/>
          <w:b/>
          <w:bCs/>
          <w:color w:val="4B4B4B"/>
          <w:kern w:val="0"/>
          <w:szCs w:val="21"/>
        </w:rPr>
      </w:pPr>
      <w:r>
        <w:rPr>
          <w:rFonts w:ascii="微软雅黑" w:eastAsia="微软雅黑" w:hAnsi="微软雅黑" w:cs="宋体" w:hint="eastAsia"/>
          <w:b/>
          <w:bCs/>
          <w:color w:val="4B4B4B"/>
          <w:kern w:val="0"/>
          <w:szCs w:val="21"/>
        </w:rPr>
        <w:t>教职</w:t>
      </w:r>
      <w:proofErr w:type="gramStart"/>
      <w:r>
        <w:rPr>
          <w:rFonts w:ascii="微软雅黑" w:eastAsia="微软雅黑" w:hAnsi="微软雅黑" w:cs="宋体" w:hint="eastAsia"/>
          <w:b/>
          <w:bCs/>
          <w:color w:val="4B4B4B"/>
          <w:kern w:val="0"/>
          <w:szCs w:val="21"/>
        </w:rPr>
        <w:t>成厅函</w:t>
      </w:r>
      <w:proofErr w:type="gramEnd"/>
      <w:r>
        <w:rPr>
          <w:rFonts w:ascii="微软雅黑" w:eastAsia="微软雅黑" w:hAnsi="微软雅黑" w:cs="宋体" w:hint="eastAsia"/>
          <w:b/>
          <w:bCs/>
          <w:color w:val="4B4B4B"/>
          <w:kern w:val="0"/>
          <w:szCs w:val="21"/>
        </w:rPr>
        <w:t>〔</w:t>
      </w:r>
      <w:r>
        <w:rPr>
          <w:rFonts w:ascii="微软雅黑" w:eastAsia="微软雅黑" w:hAnsi="微软雅黑" w:cs="宋体" w:hint="eastAsia"/>
          <w:b/>
          <w:bCs/>
          <w:color w:val="4B4B4B"/>
          <w:kern w:val="0"/>
          <w:szCs w:val="21"/>
        </w:rPr>
        <w:t>2017</w:t>
      </w:r>
      <w:r>
        <w:rPr>
          <w:rFonts w:ascii="微软雅黑" w:eastAsia="微软雅黑" w:hAnsi="微软雅黑" w:cs="宋体" w:hint="eastAsia"/>
          <w:b/>
          <w:bCs/>
          <w:color w:val="4B4B4B"/>
          <w:kern w:val="0"/>
          <w:szCs w:val="21"/>
        </w:rPr>
        <w:t>〕</w:t>
      </w:r>
      <w:r>
        <w:rPr>
          <w:rFonts w:ascii="微软雅黑" w:eastAsia="微软雅黑" w:hAnsi="微软雅黑" w:cs="宋体" w:hint="eastAsia"/>
          <w:b/>
          <w:bCs/>
          <w:color w:val="4B4B4B"/>
          <w:kern w:val="0"/>
          <w:szCs w:val="21"/>
        </w:rPr>
        <w:t>35</w:t>
      </w:r>
      <w:r>
        <w:rPr>
          <w:rFonts w:ascii="微软雅黑" w:eastAsia="微软雅黑" w:hAnsi="微软雅黑" w:cs="宋体" w:hint="eastAsia"/>
          <w:b/>
          <w:bCs/>
          <w:color w:val="4B4B4B"/>
          <w:kern w:val="0"/>
          <w:szCs w:val="21"/>
        </w:rPr>
        <w:t>号</w:t>
      </w:r>
    </w:p>
    <w:p w:rsidR="006337CC" w:rsidRDefault="00712BEC">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24"/>
          <w:szCs w:val="24"/>
        </w:rPr>
      </w:pPr>
      <w:r>
        <w:rPr>
          <w:rFonts w:ascii="微软雅黑" w:eastAsia="微软雅黑" w:hAnsi="微软雅黑" w:cs="宋体" w:hint="eastAsia"/>
          <w:b/>
          <w:bCs/>
          <w:color w:val="4B4B4B"/>
          <w:kern w:val="36"/>
          <w:sz w:val="24"/>
          <w:szCs w:val="24"/>
        </w:rPr>
        <w:t>教育部办公厅关于公布第二批现代学徒制试点和</w:t>
      </w:r>
      <w:r>
        <w:rPr>
          <w:rFonts w:ascii="微软雅黑" w:eastAsia="微软雅黑" w:hAnsi="微软雅黑" w:cs="宋体" w:hint="eastAsia"/>
          <w:b/>
          <w:bCs/>
          <w:color w:val="4B4B4B"/>
          <w:kern w:val="36"/>
          <w:sz w:val="24"/>
          <w:szCs w:val="24"/>
        </w:rPr>
        <w:br/>
      </w:r>
      <w:r>
        <w:rPr>
          <w:rFonts w:ascii="微软雅黑" w:eastAsia="微软雅黑" w:hAnsi="微软雅黑" w:cs="宋体" w:hint="eastAsia"/>
          <w:b/>
          <w:bCs/>
          <w:color w:val="4B4B4B"/>
          <w:kern w:val="36"/>
          <w:sz w:val="24"/>
          <w:szCs w:val="24"/>
        </w:rPr>
        <w:t>第一批试点年度检查结果的通知</w:t>
      </w:r>
    </w:p>
    <w:p w:rsidR="006337CC" w:rsidRDefault="00712B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各省、自治区、直辖市教育厅（教委），新疆生产建设兵团教育局，有关单位：</w:t>
      </w:r>
    </w:p>
    <w:p w:rsidR="006337CC" w:rsidRDefault="00712BEC">
      <w:pPr>
        <w:widowControl/>
        <w:shd w:val="clear" w:color="auto" w:fill="FFFFFF"/>
        <w:spacing w:before="100" w:beforeAutospacing="1" w:after="100" w:afterAutospacing="1"/>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 xml:space="preserve">　　根据《教育部关于开展现代学徒制试点工作的意见》（教职成〔</w:t>
      </w:r>
      <w:r>
        <w:rPr>
          <w:rFonts w:ascii="微软雅黑" w:eastAsia="微软雅黑" w:hAnsi="微软雅黑" w:cs="宋体" w:hint="eastAsia"/>
          <w:color w:val="4B4B4B"/>
          <w:kern w:val="0"/>
          <w:szCs w:val="21"/>
        </w:rPr>
        <w:t>2014</w:t>
      </w:r>
      <w:r>
        <w:rPr>
          <w:rFonts w:ascii="微软雅黑" w:eastAsia="微软雅黑" w:hAnsi="微软雅黑" w:cs="宋体" w:hint="eastAsia"/>
          <w:color w:val="4B4B4B"/>
          <w:kern w:val="0"/>
          <w:szCs w:val="21"/>
        </w:rPr>
        <w:t>〕</w:t>
      </w:r>
      <w:r>
        <w:rPr>
          <w:rFonts w:ascii="微软雅黑" w:eastAsia="微软雅黑" w:hAnsi="微软雅黑" w:cs="宋体" w:hint="eastAsia"/>
          <w:color w:val="4B4B4B"/>
          <w:kern w:val="0"/>
          <w:szCs w:val="21"/>
        </w:rPr>
        <w:t>9</w:t>
      </w:r>
      <w:r>
        <w:rPr>
          <w:rFonts w:ascii="微软雅黑" w:eastAsia="微软雅黑" w:hAnsi="微软雅黑" w:cs="宋体" w:hint="eastAsia"/>
          <w:color w:val="4B4B4B"/>
          <w:kern w:val="0"/>
          <w:szCs w:val="21"/>
        </w:rPr>
        <w:t>号，简称《意见》）和《教育部办公厅关于做好</w:t>
      </w:r>
      <w:r>
        <w:rPr>
          <w:rFonts w:ascii="微软雅黑" w:eastAsia="微软雅黑" w:hAnsi="微软雅黑" w:cs="宋体" w:hint="eastAsia"/>
          <w:color w:val="4B4B4B"/>
          <w:kern w:val="0"/>
          <w:szCs w:val="21"/>
        </w:rPr>
        <w:t>2017</w:t>
      </w:r>
      <w:r>
        <w:rPr>
          <w:rFonts w:ascii="微软雅黑" w:eastAsia="微软雅黑" w:hAnsi="微软雅黑" w:cs="宋体" w:hint="eastAsia"/>
          <w:color w:val="4B4B4B"/>
          <w:kern w:val="0"/>
          <w:szCs w:val="21"/>
        </w:rPr>
        <w:t>年度现代学徒制试点工作的通知》（教职</w:t>
      </w:r>
      <w:proofErr w:type="gramStart"/>
      <w:r>
        <w:rPr>
          <w:rFonts w:ascii="微软雅黑" w:eastAsia="微软雅黑" w:hAnsi="微软雅黑" w:cs="宋体" w:hint="eastAsia"/>
          <w:color w:val="4B4B4B"/>
          <w:kern w:val="0"/>
          <w:szCs w:val="21"/>
        </w:rPr>
        <w:t>成厅函</w:t>
      </w:r>
      <w:proofErr w:type="gramEnd"/>
      <w:r>
        <w:rPr>
          <w:rFonts w:ascii="微软雅黑" w:eastAsia="微软雅黑" w:hAnsi="微软雅黑" w:cs="宋体" w:hint="eastAsia"/>
          <w:color w:val="4B4B4B"/>
          <w:kern w:val="0"/>
          <w:szCs w:val="21"/>
        </w:rPr>
        <w:t>〔</w:t>
      </w:r>
      <w:r>
        <w:rPr>
          <w:rFonts w:ascii="微软雅黑" w:eastAsia="微软雅黑" w:hAnsi="微软雅黑" w:cs="宋体" w:hint="eastAsia"/>
          <w:color w:val="4B4B4B"/>
          <w:kern w:val="0"/>
          <w:szCs w:val="21"/>
        </w:rPr>
        <w:t>2017</w:t>
      </w:r>
      <w:r>
        <w:rPr>
          <w:rFonts w:ascii="微软雅黑" w:eastAsia="微软雅黑" w:hAnsi="微软雅黑" w:cs="宋体" w:hint="eastAsia"/>
          <w:color w:val="4B4B4B"/>
          <w:kern w:val="0"/>
          <w:szCs w:val="21"/>
        </w:rPr>
        <w:t>〕</w:t>
      </w:r>
      <w:r>
        <w:rPr>
          <w:rFonts w:ascii="微软雅黑" w:eastAsia="微软雅黑" w:hAnsi="微软雅黑" w:cs="宋体" w:hint="eastAsia"/>
          <w:color w:val="4B4B4B"/>
          <w:kern w:val="0"/>
          <w:szCs w:val="21"/>
        </w:rPr>
        <w:t>17</w:t>
      </w:r>
      <w:r>
        <w:rPr>
          <w:rFonts w:ascii="微软雅黑" w:eastAsia="微软雅黑" w:hAnsi="微软雅黑" w:cs="宋体" w:hint="eastAsia"/>
          <w:color w:val="4B4B4B"/>
          <w:kern w:val="0"/>
          <w:szCs w:val="21"/>
        </w:rPr>
        <w:t>号，简称《通知》），我部组织开展了第二批现代学徒制试点遴选和第一批试点年度检查工作。现将结果予以公布，有关事项通知如下：</w:t>
      </w:r>
    </w:p>
    <w:p w:rsidR="006337CC" w:rsidRDefault="00712BEC">
      <w:pPr>
        <w:widowControl/>
        <w:shd w:val="clear" w:color="auto" w:fill="FFFFFF"/>
        <w:spacing w:before="100" w:beforeAutospacing="1" w:after="100" w:afterAutospacing="1"/>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 xml:space="preserve">　　</w:t>
      </w:r>
      <w:r>
        <w:rPr>
          <w:rFonts w:ascii="微软雅黑" w:eastAsia="微软雅黑" w:hAnsi="微软雅黑" w:cs="宋体" w:hint="eastAsia"/>
          <w:b/>
          <w:bCs/>
          <w:color w:val="4B4B4B"/>
          <w:kern w:val="0"/>
          <w:szCs w:val="21"/>
        </w:rPr>
        <w:t>一、新增试点</w:t>
      </w:r>
      <w:r>
        <w:rPr>
          <w:rFonts w:ascii="微软雅黑" w:eastAsia="微软雅黑" w:hAnsi="微软雅黑" w:cs="宋体" w:hint="eastAsia"/>
          <w:b/>
          <w:bCs/>
          <w:color w:val="4B4B4B"/>
          <w:kern w:val="0"/>
          <w:szCs w:val="21"/>
        </w:rPr>
        <w:t xml:space="preserve"> </w:t>
      </w:r>
    </w:p>
    <w:p w:rsidR="006337CC" w:rsidRDefault="00712BEC">
      <w:pPr>
        <w:widowControl/>
        <w:shd w:val="clear" w:color="auto" w:fill="FFFFFF"/>
        <w:spacing w:before="100" w:beforeAutospacing="1" w:after="100" w:afterAutospacing="1"/>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 xml:space="preserve">　　按照“自愿申报、省级推荐、部级评议”的工作程序，现确定第二批</w:t>
      </w:r>
      <w:r>
        <w:rPr>
          <w:rFonts w:ascii="微软雅黑" w:eastAsia="微软雅黑" w:hAnsi="微软雅黑" w:cs="宋体" w:hint="eastAsia"/>
          <w:color w:val="4B4B4B"/>
          <w:kern w:val="0"/>
          <w:szCs w:val="21"/>
        </w:rPr>
        <w:t>203</w:t>
      </w:r>
      <w:r>
        <w:rPr>
          <w:rFonts w:ascii="微软雅黑" w:eastAsia="微软雅黑" w:hAnsi="微软雅黑" w:cs="宋体" w:hint="eastAsia"/>
          <w:color w:val="4B4B4B"/>
          <w:kern w:val="0"/>
          <w:szCs w:val="21"/>
        </w:rPr>
        <w:t>个现代学徒制试点，详见附件。</w:t>
      </w:r>
    </w:p>
    <w:p w:rsidR="006337CC" w:rsidRDefault="00712BEC">
      <w:pPr>
        <w:widowControl/>
        <w:shd w:val="clear" w:color="auto" w:fill="FFFFFF"/>
        <w:spacing w:before="100" w:beforeAutospacing="1" w:after="100" w:afterAutospacing="1"/>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 xml:space="preserve">　　各试点单位须按照我部审定公布的任务</w:t>
      </w:r>
      <w:proofErr w:type="gramStart"/>
      <w:r>
        <w:rPr>
          <w:rFonts w:ascii="微软雅黑" w:eastAsia="微软雅黑" w:hAnsi="微软雅黑" w:cs="宋体" w:hint="eastAsia"/>
          <w:color w:val="4B4B4B"/>
          <w:kern w:val="0"/>
          <w:szCs w:val="21"/>
        </w:rPr>
        <w:t>书扎实推进</w:t>
      </w:r>
      <w:proofErr w:type="gramEnd"/>
      <w:r>
        <w:rPr>
          <w:rFonts w:ascii="微软雅黑" w:eastAsia="微软雅黑" w:hAnsi="微软雅黑" w:cs="宋体" w:hint="eastAsia"/>
          <w:color w:val="4B4B4B"/>
          <w:kern w:val="0"/>
          <w:szCs w:val="21"/>
        </w:rPr>
        <w:t>工作，按照要求接受年度检查和验收；把试点工作中的好做法好经验及时总结提炼上升为理论，促进理论与实践同步发展。任务书在我部</w:t>
      </w:r>
      <w:proofErr w:type="gramStart"/>
      <w:r>
        <w:rPr>
          <w:rFonts w:ascii="微软雅黑" w:eastAsia="微软雅黑" w:hAnsi="微软雅黑" w:cs="宋体" w:hint="eastAsia"/>
          <w:color w:val="4B4B4B"/>
          <w:kern w:val="0"/>
          <w:szCs w:val="21"/>
        </w:rPr>
        <w:t>官网职成司</w:t>
      </w:r>
      <w:proofErr w:type="gramEnd"/>
      <w:r>
        <w:rPr>
          <w:rFonts w:ascii="微软雅黑" w:eastAsia="微软雅黑" w:hAnsi="微软雅黑" w:cs="宋体" w:hint="eastAsia"/>
          <w:color w:val="4B4B4B"/>
          <w:kern w:val="0"/>
          <w:szCs w:val="21"/>
        </w:rPr>
        <w:t>主页《高等职业教育创新发展行动计划（</w:t>
      </w:r>
      <w:r>
        <w:rPr>
          <w:rFonts w:ascii="微软雅黑" w:eastAsia="微软雅黑" w:hAnsi="微软雅黑" w:cs="宋体" w:hint="eastAsia"/>
          <w:color w:val="4B4B4B"/>
          <w:kern w:val="0"/>
          <w:szCs w:val="21"/>
        </w:rPr>
        <w:t>2015-2018</w:t>
      </w:r>
      <w:r>
        <w:rPr>
          <w:rFonts w:ascii="微软雅黑" w:eastAsia="微软雅黑" w:hAnsi="微软雅黑" w:cs="宋体" w:hint="eastAsia"/>
          <w:color w:val="4B4B4B"/>
          <w:kern w:val="0"/>
          <w:szCs w:val="21"/>
        </w:rPr>
        <w:t>年）》专栏“现代学徒制试点工作管理平台”（</w:t>
      </w:r>
      <w:r>
        <w:rPr>
          <w:rFonts w:ascii="微软雅黑" w:eastAsia="微软雅黑" w:hAnsi="微软雅黑" w:cs="宋体" w:hint="eastAsia"/>
          <w:color w:val="4B4B4B"/>
          <w:kern w:val="0"/>
          <w:szCs w:val="21"/>
        </w:rPr>
        <w:t>http://www.moe.edu.cn/s78/A07/zcs_ztzl/ztzl_zcs1518/</w:t>
      </w:r>
      <w:r>
        <w:rPr>
          <w:rFonts w:ascii="微软雅黑" w:eastAsia="微软雅黑" w:hAnsi="微软雅黑" w:cs="宋体" w:hint="eastAsia"/>
          <w:color w:val="4B4B4B"/>
          <w:kern w:val="0"/>
          <w:szCs w:val="21"/>
        </w:rPr>
        <w:t>）公布。</w:t>
      </w:r>
    </w:p>
    <w:p w:rsidR="006337CC" w:rsidRDefault="00712BEC">
      <w:pPr>
        <w:widowControl/>
        <w:shd w:val="clear" w:color="auto" w:fill="FFFFFF"/>
        <w:spacing w:before="100" w:beforeAutospacing="1" w:after="100" w:afterAutospacing="1"/>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lastRenderedPageBreak/>
        <w:t xml:space="preserve">　　各地要加强省级统筹，</w:t>
      </w:r>
      <w:r>
        <w:rPr>
          <w:rFonts w:ascii="微软雅黑" w:eastAsia="微软雅黑" w:hAnsi="微软雅黑" w:cs="宋体" w:hint="eastAsia"/>
          <w:color w:val="4B4B4B"/>
          <w:kern w:val="0"/>
          <w:szCs w:val="21"/>
        </w:rPr>
        <w:t>保证对试点工作的领导，争取协调部门支持；保证对试点工作的政策、资金支持，以财政资助、政府购买等方式引导企业和职业院校积极实行现代学徒制；落实年度检查和验收相关工作。</w:t>
      </w:r>
    </w:p>
    <w:p w:rsidR="006337CC" w:rsidRDefault="00712BEC">
      <w:pPr>
        <w:widowControl/>
        <w:shd w:val="clear" w:color="auto" w:fill="FFFFFF"/>
        <w:spacing w:before="100" w:beforeAutospacing="1" w:after="100" w:afterAutospacing="1"/>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 xml:space="preserve">　　我部委托全国现代学徒制工作专家指导委员会对试点工作进行业务指导、组织开展现代学徒制相关培训与交流活动、按照我部要求开展年度检查和验收。各地和各试点单位应主动支持、积极配合委员会工作。对于试点期间工作不力或造成不良影响的，我部将中止其试点资格。</w:t>
      </w:r>
    </w:p>
    <w:p w:rsidR="006337CC" w:rsidRDefault="00712BEC">
      <w:pPr>
        <w:widowControl/>
        <w:shd w:val="clear" w:color="auto" w:fill="FFFFFF"/>
        <w:spacing w:before="100" w:beforeAutospacing="1" w:after="100" w:afterAutospacing="1"/>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 xml:space="preserve">　　</w:t>
      </w:r>
      <w:r>
        <w:rPr>
          <w:rFonts w:ascii="微软雅黑" w:eastAsia="微软雅黑" w:hAnsi="微软雅黑" w:cs="宋体" w:hint="eastAsia"/>
          <w:b/>
          <w:bCs/>
          <w:color w:val="4B4B4B"/>
          <w:kern w:val="0"/>
          <w:szCs w:val="21"/>
        </w:rPr>
        <w:t>二、年度检查</w:t>
      </w:r>
      <w:r>
        <w:rPr>
          <w:rFonts w:ascii="微软雅黑" w:eastAsia="微软雅黑" w:hAnsi="微软雅黑" w:cs="宋体" w:hint="eastAsia"/>
          <w:b/>
          <w:bCs/>
          <w:color w:val="4B4B4B"/>
          <w:kern w:val="0"/>
          <w:szCs w:val="21"/>
        </w:rPr>
        <w:t xml:space="preserve"> </w:t>
      </w:r>
    </w:p>
    <w:p w:rsidR="006337CC" w:rsidRDefault="00712BEC">
      <w:pPr>
        <w:widowControl/>
        <w:shd w:val="clear" w:color="auto" w:fill="FFFFFF"/>
        <w:spacing w:before="100" w:beforeAutospacing="1" w:after="100" w:afterAutospacing="1"/>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 xml:space="preserve">　　按照“单位自检、省级检查、部级抽检”的程序，我部组织专家对第一批试点提交的自检报告进行了核查。</w:t>
      </w:r>
    </w:p>
    <w:p w:rsidR="006337CC" w:rsidRDefault="00712BEC">
      <w:pPr>
        <w:widowControl/>
        <w:shd w:val="clear" w:color="auto" w:fill="FFFFFF"/>
        <w:spacing w:before="100" w:beforeAutospacing="1" w:after="100" w:afterAutospacing="1"/>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 xml:space="preserve">　　专家组根据《通知》要求、对照备案的任务书和自检报告，核查了试点工作进展情况，形成了年度检查意见（登录“现代学徒制试点工作管理平台”查看）。任务书、备案说明材料和年度检查意见将作为</w:t>
      </w:r>
      <w:r>
        <w:rPr>
          <w:rFonts w:ascii="微软雅黑" w:eastAsia="微软雅黑" w:hAnsi="微软雅黑" w:cs="宋体" w:hint="eastAsia"/>
          <w:color w:val="4B4B4B"/>
          <w:kern w:val="0"/>
          <w:szCs w:val="21"/>
        </w:rPr>
        <w:t>2018</w:t>
      </w:r>
      <w:r>
        <w:rPr>
          <w:rFonts w:ascii="微软雅黑" w:eastAsia="微软雅黑" w:hAnsi="微软雅黑" w:cs="宋体" w:hint="eastAsia"/>
          <w:color w:val="4B4B4B"/>
          <w:kern w:val="0"/>
          <w:szCs w:val="21"/>
        </w:rPr>
        <w:t>年验收工作的主要依据。请各试点单位按照《意见》和《通知》要求、对照任务书和年度检查意见，拾遗补缺纠偏，扎实推进试点工作，按时保质完成试点任务。</w:t>
      </w:r>
    </w:p>
    <w:p w:rsidR="006337CC" w:rsidRDefault="00712BEC">
      <w:pPr>
        <w:widowControl/>
        <w:shd w:val="clear" w:color="auto" w:fill="FFFFFF"/>
        <w:spacing w:before="100" w:beforeAutospacing="1" w:after="100" w:afterAutospacing="1"/>
        <w:ind w:firstLine="420"/>
        <w:jc w:val="left"/>
        <w:rPr>
          <w:rFonts w:ascii="微软雅黑" w:eastAsia="微软雅黑" w:hAnsi="微软雅黑" w:cs="宋体"/>
          <w:color w:val="4B4B4B"/>
          <w:kern w:val="0"/>
          <w:szCs w:val="21"/>
        </w:rPr>
      </w:pPr>
      <w:r>
        <w:rPr>
          <w:rFonts w:ascii="微软雅黑" w:eastAsia="微软雅黑" w:hAnsi="微软雅黑" w:cs="宋体" w:hint="eastAsia"/>
          <w:color w:val="4B4B4B"/>
          <w:kern w:val="0"/>
          <w:szCs w:val="21"/>
        </w:rPr>
        <w:t>同意中国建筑材料联合会、辽宁职业技术学院中止试点的申请。</w:t>
      </w:r>
    </w:p>
    <w:p w:rsidR="006337CC" w:rsidRDefault="00712BEC">
      <w:pPr>
        <w:pStyle w:val="a3"/>
        <w:shd w:val="clear" w:color="auto" w:fill="FFFFFF"/>
        <w:spacing w:before="0" w:beforeAutospacing="0" w:after="0" w:afterAutospacing="0" w:line="420" w:lineRule="atLeast"/>
        <w:jc w:val="right"/>
        <w:rPr>
          <w:rFonts w:ascii="Helvetica" w:hAnsi="Helvetica" w:cs="Helvetica"/>
          <w:color w:val="3E3E3E"/>
          <w:sz w:val="21"/>
          <w:szCs w:val="21"/>
        </w:rPr>
      </w:pPr>
      <w:r>
        <w:rPr>
          <w:rFonts w:ascii="Helvetica" w:hAnsi="Helvetica" w:cs="Helvetica"/>
          <w:color w:val="3E3E3E"/>
          <w:sz w:val="21"/>
          <w:szCs w:val="21"/>
        </w:rPr>
        <w:t>教育部办公厅</w:t>
      </w:r>
    </w:p>
    <w:p w:rsidR="006337CC" w:rsidRDefault="00712BEC">
      <w:pPr>
        <w:pStyle w:val="a3"/>
        <w:shd w:val="clear" w:color="auto" w:fill="FFFFFF"/>
        <w:spacing w:before="0" w:beforeAutospacing="0" w:after="0" w:afterAutospacing="0" w:line="420" w:lineRule="atLeast"/>
        <w:jc w:val="right"/>
        <w:rPr>
          <w:rFonts w:ascii="Helvetica" w:hAnsi="Helvetica" w:cs="Helvetica"/>
          <w:color w:val="3E3E3E"/>
          <w:sz w:val="21"/>
          <w:szCs w:val="21"/>
        </w:rPr>
      </w:pPr>
      <w:r>
        <w:rPr>
          <w:rFonts w:ascii="Helvetica" w:hAnsi="Helvetica" w:cs="Helvetica"/>
          <w:color w:val="3E3E3E"/>
          <w:sz w:val="21"/>
          <w:szCs w:val="21"/>
        </w:rPr>
        <w:t>201</w:t>
      </w:r>
      <w:r>
        <w:rPr>
          <w:rFonts w:ascii="Helvetica" w:hAnsi="Helvetica" w:cs="Helvetica"/>
          <w:color w:val="3E3E3E"/>
          <w:sz w:val="21"/>
          <w:szCs w:val="21"/>
        </w:rPr>
        <w:t>7</w:t>
      </w:r>
      <w:r>
        <w:rPr>
          <w:rFonts w:ascii="Helvetica" w:hAnsi="Helvetica" w:cs="Helvetica"/>
          <w:color w:val="3E3E3E"/>
          <w:sz w:val="21"/>
          <w:szCs w:val="21"/>
        </w:rPr>
        <w:t>年</w:t>
      </w:r>
      <w:r>
        <w:rPr>
          <w:rFonts w:ascii="Helvetica" w:hAnsi="Helvetica" w:cs="Helvetica"/>
          <w:color w:val="3E3E3E"/>
          <w:sz w:val="21"/>
          <w:szCs w:val="21"/>
        </w:rPr>
        <w:t>8</w:t>
      </w:r>
      <w:r>
        <w:rPr>
          <w:rFonts w:ascii="Helvetica" w:hAnsi="Helvetica" w:cs="Helvetica"/>
          <w:color w:val="3E3E3E"/>
          <w:sz w:val="21"/>
          <w:szCs w:val="21"/>
        </w:rPr>
        <w:t>月</w:t>
      </w:r>
      <w:r>
        <w:rPr>
          <w:rFonts w:ascii="Helvetica" w:hAnsi="Helvetica" w:cs="Helvetica"/>
          <w:color w:val="3E3E3E"/>
          <w:sz w:val="21"/>
          <w:szCs w:val="21"/>
        </w:rPr>
        <w:t>23</w:t>
      </w:r>
      <w:r>
        <w:rPr>
          <w:rFonts w:ascii="Helvetica" w:hAnsi="Helvetica" w:cs="Helvetica"/>
          <w:color w:val="3E3E3E"/>
          <w:sz w:val="21"/>
          <w:szCs w:val="21"/>
        </w:rPr>
        <w:t>日</w:t>
      </w:r>
    </w:p>
    <w:p w:rsidR="006337CC" w:rsidRDefault="00712BEC">
      <w:pPr>
        <w:ind w:rightChars="-94" w:right="-197"/>
        <w:rPr>
          <w:rFonts w:ascii="仿宋_GB2312" w:eastAsia="仿宋_GB2312"/>
          <w:szCs w:val="21"/>
        </w:rPr>
      </w:pPr>
      <w:r>
        <w:rPr>
          <w:rFonts w:ascii="仿宋_GB2312" w:eastAsia="仿宋_GB2312"/>
          <w:szCs w:val="21"/>
        </w:rPr>
        <w:t>附件</w:t>
      </w:r>
    </w:p>
    <w:p w:rsidR="006337CC" w:rsidRDefault="00712BEC" w:rsidP="00712BEC">
      <w:pPr>
        <w:ind w:leftChars="1" w:left="1002" w:rightChars="-94" w:right="-197" w:hangingChars="476" w:hanging="1000"/>
        <w:jc w:val="center"/>
        <w:rPr>
          <w:rFonts w:ascii="方正小标宋简体" w:eastAsia="方正小标宋简体"/>
          <w:szCs w:val="21"/>
        </w:rPr>
      </w:pPr>
      <w:r>
        <w:rPr>
          <w:rFonts w:ascii="方正小标宋简体" w:eastAsia="方正小标宋简体" w:hint="eastAsia"/>
          <w:szCs w:val="21"/>
        </w:rPr>
        <w:t>第二批现代学徒制试点单位名单</w:t>
      </w:r>
    </w:p>
    <w:p w:rsidR="006337CC" w:rsidRDefault="00712BEC">
      <w:pPr>
        <w:rPr>
          <w:rFonts w:ascii="黑体" w:eastAsia="黑体" w:hAnsi="黑体"/>
          <w:szCs w:val="21"/>
        </w:rPr>
      </w:pPr>
      <w:r>
        <w:rPr>
          <w:rFonts w:ascii="黑体" w:eastAsia="黑体" w:hAnsi="黑体" w:hint="eastAsia"/>
          <w:szCs w:val="21"/>
        </w:rPr>
        <w:t>一、试点行业组织（</w:t>
      </w:r>
      <w:r>
        <w:rPr>
          <w:rFonts w:ascii="黑体" w:eastAsia="黑体" w:hAnsi="黑体" w:hint="eastAsia"/>
          <w:szCs w:val="21"/>
        </w:rPr>
        <w:t>4</w:t>
      </w:r>
      <w:r>
        <w:rPr>
          <w:rFonts w:ascii="黑体" w:eastAsia="黑体" w:hAnsi="黑体" w:hint="eastAsia"/>
          <w:szCs w:val="21"/>
        </w:rPr>
        <w:t>家）</w:t>
      </w:r>
    </w:p>
    <w:tbl>
      <w:tblPr>
        <w:tblW w:w="6391" w:type="dxa"/>
        <w:tblInd w:w="96" w:type="dxa"/>
        <w:tblLayout w:type="fixed"/>
        <w:tblLook w:val="04A0" w:firstRow="1" w:lastRow="0" w:firstColumn="1" w:lastColumn="0" w:noHBand="0" w:noVBand="1"/>
      </w:tblPr>
      <w:tblGrid>
        <w:gridCol w:w="6391"/>
      </w:tblGrid>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lastRenderedPageBreak/>
              <w:t>中国电子信息行业联合会</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中国检验检疫学会</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江西省船舶工业行业协会</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广东省物联网协会</w:t>
            </w:r>
          </w:p>
        </w:tc>
      </w:tr>
    </w:tbl>
    <w:p w:rsidR="006337CC" w:rsidRDefault="00712BEC">
      <w:pPr>
        <w:rPr>
          <w:rFonts w:ascii="黑体" w:eastAsia="黑体" w:hAnsi="黑体"/>
          <w:szCs w:val="21"/>
        </w:rPr>
      </w:pPr>
      <w:r>
        <w:rPr>
          <w:rFonts w:ascii="黑体" w:eastAsia="黑体" w:hAnsi="黑体" w:hint="eastAsia"/>
          <w:szCs w:val="21"/>
        </w:rPr>
        <w:t>二、试点地区（</w:t>
      </w:r>
      <w:r>
        <w:rPr>
          <w:rFonts w:ascii="黑体" w:eastAsia="黑体" w:hAnsi="黑体" w:hint="eastAsia"/>
          <w:szCs w:val="21"/>
        </w:rPr>
        <w:t>2</w:t>
      </w:r>
      <w:r>
        <w:rPr>
          <w:rFonts w:ascii="黑体" w:eastAsia="黑体" w:hAnsi="黑体" w:hint="eastAsia"/>
          <w:szCs w:val="21"/>
        </w:rPr>
        <w:t>个）</w:t>
      </w:r>
    </w:p>
    <w:tbl>
      <w:tblPr>
        <w:tblW w:w="6606" w:type="dxa"/>
        <w:tblInd w:w="96" w:type="dxa"/>
        <w:tblLayout w:type="fixed"/>
        <w:tblLook w:val="04A0" w:firstRow="1" w:lastRow="0" w:firstColumn="1" w:lastColumn="0" w:noHBand="0" w:noVBand="1"/>
      </w:tblPr>
      <w:tblGrid>
        <w:gridCol w:w="6606"/>
      </w:tblGrid>
      <w:tr w:rsidR="006337CC">
        <w:trPr>
          <w:trHeight w:val="296"/>
        </w:trPr>
        <w:tc>
          <w:tcPr>
            <w:tcW w:w="6606"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湖北省宜昌市</w:t>
            </w:r>
          </w:p>
        </w:tc>
      </w:tr>
      <w:tr w:rsidR="006337CC">
        <w:trPr>
          <w:trHeight w:val="296"/>
        </w:trPr>
        <w:tc>
          <w:tcPr>
            <w:tcW w:w="6606"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湖南省岳阳市</w:t>
            </w:r>
          </w:p>
        </w:tc>
      </w:tr>
    </w:tbl>
    <w:p w:rsidR="006337CC" w:rsidRDefault="00712BEC">
      <w:pPr>
        <w:rPr>
          <w:rFonts w:ascii="黑体" w:eastAsia="黑体" w:hAnsi="黑体"/>
          <w:szCs w:val="21"/>
        </w:rPr>
      </w:pPr>
      <w:r>
        <w:rPr>
          <w:rFonts w:ascii="黑体" w:eastAsia="黑体" w:hAnsi="黑体" w:hint="eastAsia"/>
          <w:szCs w:val="21"/>
        </w:rPr>
        <w:t>三、试点企业（</w:t>
      </w:r>
      <w:r>
        <w:rPr>
          <w:rFonts w:ascii="黑体" w:eastAsia="黑体" w:hAnsi="黑体" w:hint="eastAsia"/>
          <w:szCs w:val="21"/>
        </w:rPr>
        <w:t>5</w:t>
      </w:r>
      <w:r>
        <w:rPr>
          <w:rFonts w:ascii="黑体" w:eastAsia="黑体" w:hAnsi="黑体" w:hint="eastAsia"/>
          <w:szCs w:val="21"/>
        </w:rPr>
        <w:t>家）</w:t>
      </w:r>
    </w:p>
    <w:tbl>
      <w:tblPr>
        <w:tblW w:w="6816" w:type="dxa"/>
        <w:tblLayout w:type="fixed"/>
        <w:tblLook w:val="04A0" w:firstRow="1" w:lastRow="0" w:firstColumn="1" w:lastColumn="0" w:noHBand="0" w:noVBand="1"/>
      </w:tblPr>
      <w:tblGrid>
        <w:gridCol w:w="6816"/>
      </w:tblGrid>
      <w:tr w:rsidR="006337CC">
        <w:trPr>
          <w:trHeight w:val="288"/>
        </w:trPr>
        <w:tc>
          <w:tcPr>
            <w:tcW w:w="6816"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天津圣纳科技有限公司</w:t>
            </w:r>
          </w:p>
        </w:tc>
      </w:tr>
      <w:tr w:rsidR="006337CC">
        <w:trPr>
          <w:trHeight w:val="288"/>
        </w:trPr>
        <w:tc>
          <w:tcPr>
            <w:tcW w:w="6816"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吉林大药房药业股份有限公司</w:t>
            </w:r>
          </w:p>
        </w:tc>
      </w:tr>
      <w:tr w:rsidR="006337CC">
        <w:trPr>
          <w:trHeight w:val="288"/>
        </w:trPr>
        <w:tc>
          <w:tcPr>
            <w:tcW w:w="6816"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吉林省汽车工业贸易集团有限公司</w:t>
            </w:r>
          </w:p>
        </w:tc>
      </w:tr>
      <w:tr w:rsidR="006337CC">
        <w:trPr>
          <w:trHeight w:val="288"/>
        </w:trPr>
        <w:tc>
          <w:tcPr>
            <w:tcW w:w="6816"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proofErr w:type="gramStart"/>
            <w:r>
              <w:rPr>
                <w:rFonts w:ascii="仿宋_GB2312" w:eastAsia="仿宋_GB2312" w:hint="eastAsia"/>
                <w:color w:val="000000"/>
                <w:szCs w:val="21"/>
              </w:rPr>
              <w:t>九江明阳电路科技</w:t>
            </w:r>
            <w:proofErr w:type="gramEnd"/>
            <w:r>
              <w:rPr>
                <w:rFonts w:ascii="仿宋_GB2312" w:eastAsia="仿宋_GB2312" w:hint="eastAsia"/>
                <w:color w:val="000000"/>
                <w:szCs w:val="21"/>
              </w:rPr>
              <w:t>有限公司</w:t>
            </w:r>
          </w:p>
        </w:tc>
      </w:tr>
      <w:tr w:rsidR="006337CC">
        <w:trPr>
          <w:trHeight w:val="288"/>
        </w:trPr>
        <w:tc>
          <w:tcPr>
            <w:tcW w:w="6816"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长沙五十七度湘餐饮管理有限公司</w:t>
            </w:r>
          </w:p>
        </w:tc>
      </w:tr>
    </w:tbl>
    <w:p w:rsidR="006337CC" w:rsidRDefault="00712BEC">
      <w:pPr>
        <w:rPr>
          <w:rFonts w:ascii="黑体" w:eastAsia="黑体" w:hAnsi="黑体"/>
          <w:szCs w:val="21"/>
        </w:rPr>
      </w:pPr>
      <w:r>
        <w:rPr>
          <w:rFonts w:ascii="黑体" w:eastAsia="黑体" w:hAnsi="黑体" w:hint="eastAsia"/>
          <w:szCs w:val="21"/>
        </w:rPr>
        <w:t>四、试点高职院校（</w:t>
      </w:r>
      <w:r>
        <w:rPr>
          <w:rFonts w:ascii="黑体" w:eastAsia="黑体" w:hAnsi="黑体" w:hint="eastAsia"/>
          <w:szCs w:val="21"/>
        </w:rPr>
        <w:t>154</w:t>
      </w:r>
      <w:r>
        <w:rPr>
          <w:rFonts w:ascii="黑体" w:eastAsia="黑体" w:hAnsi="黑体" w:hint="eastAsia"/>
          <w:szCs w:val="21"/>
        </w:rPr>
        <w:t>所）</w:t>
      </w:r>
    </w:p>
    <w:tbl>
      <w:tblPr>
        <w:tblW w:w="6391" w:type="dxa"/>
        <w:tblLayout w:type="fixed"/>
        <w:tblLook w:val="04A0" w:firstRow="1" w:lastRow="0" w:firstColumn="1" w:lastColumn="0" w:noHBand="0" w:noVBand="1"/>
      </w:tblPr>
      <w:tblGrid>
        <w:gridCol w:w="6391"/>
      </w:tblGrid>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北京工业职业技术学院</w:t>
            </w:r>
          </w:p>
        </w:tc>
      </w:tr>
      <w:tr w:rsidR="006337CC">
        <w:trPr>
          <w:trHeight w:val="504"/>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北京劳动保障职业学院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北京农业职业学院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北京信息职业技术学院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天津城市建设管理职业技术学院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天津城市职业学院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天津交通职业学院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天津青年职业学院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天津轻工职业技术学院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天津商务职业学院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天津冶金职业技术学院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天津医学高等专科学校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lastRenderedPageBreak/>
              <w:t>邯郸职业技术学院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河北工业职业技术学院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河北软件职业技术学院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秦皇岛职业技术学院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石家庄财经职业学院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石家庄科技工程职业学院</w:t>
            </w:r>
          </w:p>
        </w:tc>
      </w:tr>
      <w:tr w:rsidR="006337CC">
        <w:trPr>
          <w:trHeight w:val="207"/>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石家庄职业技术学院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山西华澳商贸职业学院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山西机电职业技术学院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运城职业技术学院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鄂尔多斯职业学院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包头职业技术学院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包头轻工职业技术学院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辽宁医药职业学院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辽宁冶金职业技术学院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辽宁水利职业学院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辽宁石化职业技术学院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辽宁省交通高等专科学校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辽宁农业职业技术学院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辽宁金融职业学院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辽宁建筑职业学院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辽宁城市建设职业技术学院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长春金融高等专科学校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吉林交通职业技术学院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lastRenderedPageBreak/>
              <w:t>大庆医学高等专科学校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黑龙江建筑职业技术学院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黑龙江林业职业技术学院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黑龙江农业经济职业学院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黑龙江生物科技职业学院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黑龙江职业学院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佳木斯职业学院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上海邦德职业技术学院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上海城建职业学院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上海东海职业技术学院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常州信息职业技术学院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江苏建筑职业技术学院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江苏农牧科技职业学院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苏州工业园区职业技术学院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杭州职业技术学院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嘉兴职业技术学院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浙江工贸职业技术学院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浙江工业职业技术学院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浙江旅游职业学院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安徽工商职业学院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安徽国际商务职业学院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安徽交通职业技术学院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安徽商贸职业技术学院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安庆职业技术学院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lastRenderedPageBreak/>
              <w:t>淮南职业技术学院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徽商职业学院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福建船政交通职业学院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湄洲湾</w:t>
            </w:r>
            <w:proofErr w:type="gramEnd"/>
            <w:r>
              <w:rPr>
                <w:rFonts w:ascii="仿宋_GB2312" w:eastAsia="仿宋_GB2312" w:hAnsi="宋体" w:cs="宋体" w:hint="eastAsia"/>
                <w:color w:val="000000"/>
                <w:kern w:val="0"/>
                <w:szCs w:val="21"/>
              </w:rPr>
              <w:t>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泉州工艺美术职业学院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江西工业工程职业技术学院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江西工业贸易职业技术学院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江西建设职业技术学院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江西泰豪动漫职业学院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江西冶金职业技术学院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九江职业技术学院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山东城市建设职业学院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山东畜牧兽医职业学院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山东工业职业学院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山东理工职业学院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威海职业学院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烟台职业学院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淄博职业学院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黄河水利职业技术学院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济源职业技术学院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长江职业学院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湖北交通职业技术学院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湖北生物科技职业学院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湖北职业技术学院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lastRenderedPageBreak/>
              <w:t>武汉城市职业学院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仙桃职业学院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襄阳职业技术学院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常德职业技术学院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湖南汽车工程职业学院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湖南铁道职业技术学院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湖南现代物流职业技术学院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永州职业技术学院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广东环境保护工程职业学院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广东建设职业技术学院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广东理工职业学院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广东食品药品职业学院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广州城建职业学院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广州工程技术职业学院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中山火炬职业技术学院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color w:val="000000"/>
                <w:szCs w:val="21"/>
              </w:rPr>
            </w:pPr>
            <w:r>
              <w:rPr>
                <w:rFonts w:ascii="仿宋_GB2312" w:eastAsia="仿宋_GB2312" w:hint="eastAsia"/>
                <w:color w:val="000000"/>
                <w:szCs w:val="21"/>
              </w:rPr>
              <w:t>中山职业技术学院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珠海城市职业技术学院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广西电力职业技术学院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广西工商职业技术学院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广西工业职业技术学院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广西经贸职业技术学院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南宁职业技术学院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海南经贸职业技术学院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海南软件职业技术学院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三亚航空旅游职业学院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三亚理工职业学院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重庆城市管理职业学院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重庆电力高等专科学校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重庆工商职业学院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重庆三峡医药高等专科学校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重庆医药高等专科学校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成都纺织高等专科学校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成都工业职业技术学院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成都航空职业技术学院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成都职业技术学院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广安职业技术学院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四川航天职业技术学院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宜宾职业技术学院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毕节医学高等专科学校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贵州交通职业技术学院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黔东南民族职业技术学院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铜仁职业技术学院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2"/>
              <w:jc w:val="left"/>
              <w:rPr>
                <w:rFonts w:ascii="仿宋_GB2312" w:eastAsia="仿宋_GB2312" w:hAnsi="宋体" w:cs="宋体"/>
                <w:b/>
                <w:color w:val="000000"/>
                <w:kern w:val="0"/>
                <w:szCs w:val="21"/>
              </w:rPr>
            </w:pPr>
            <w:r>
              <w:rPr>
                <w:rFonts w:ascii="仿宋_GB2312" w:eastAsia="仿宋_GB2312" w:hint="eastAsia"/>
                <w:b/>
                <w:color w:val="FF0000"/>
                <w:szCs w:val="21"/>
              </w:rPr>
              <w:t>曲靖医学高等专科学校</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云南机电职业技术学院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云南能源职业技术学院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云南锡业职业技术学院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陕西国防工业职业技术学院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陕西能源职业技术学院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lastRenderedPageBreak/>
              <w:t>陕西铁路工程职业技术学院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陕西邮电职业技术学院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渭南职业技术学院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西安航空职业技术学院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西安铁路职业技术学院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西安职业技术学院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咸阳职业技术学院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杨</w:t>
            </w:r>
            <w:proofErr w:type="gramStart"/>
            <w:r>
              <w:rPr>
                <w:rFonts w:ascii="仿宋_GB2312" w:eastAsia="仿宋_GB2312" w:hint="eastAsia"/>
                <w:color w:val="000000"/>
                <w:szCs w:val="21"/>
              </w:rPr>
              <w:t>凌职业</w:t>
            </w:r>
            <w:proofErr w:type="gramEnd"/>
            <w:r>
              <w:rPr>
                <w:rFonts w:ascii="仿宋_GB2312" w:eastAsia="仿宋_GB2312" w:hint="eastAsia"/>
                <w:color w:val="000000"/>
                <w:szCs w:val="21"/>
              </w:rPr>
              <w:t>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甘肃工业职业技术学院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甘肃交通职业技术学院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青海柴达木职业技术学院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宁夏财经职业技术学院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宁夏工商职业技术学院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宁夏建设职业技术学院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宁夏民族职业技术学院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巴音</w:t>
            </w:r>
            <w:proofErr w:type="gramStart"/>
            <w:r>
              <w:rPr>
                <w:rFonts w:ascii="仿宋_GB2312" w:eastAsia="仿宋_GB2312" w:hint="eastAsia"/>
                <w:color w:val="000000"/>
                <w:szCs w:val="21"/>
              </w:rPr>
              <w:t>郭楞职业</w:t>
            </w:r>
            <w:proofErr w:type="gramEnd"/>
            <w:r>
              <w:rPr>
                <w:rFonts w:ascii="仿宋_GB2312" w:eastAsia="仿宋_GB2312" w:hint="eastAsia"/>
                <w:color w:val="000000"/>
                <w:szCs w:val="21"/>
              </w:rPr>
              <w:t>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昌吉职业技术学院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克拉玛依职业技术学院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乌鲁木齐职业大学</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新疆交通职业技术学院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新疆农业职业技术学院</w:t>
            </w:r>
          </w:p>
        </w:tc>
      </w:tr>
      <w:tr w:rsidR="006337CC">
        <w:trPr>
          <w:trHeight w:val="288"/>
        </w:trPr>
        <w:tc>
          <w:tcPr>
            <w:tcW w:w="6391"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伊犁职业技术学院</w:t>
            </w:r>
          </w:p>
        </w:tc>
      </w:tr>
    </w:tbl>
    <w:p w:rsidR="006337CC" w:rsidRDefault="00712BEC">
      <w:pPr>
        <w:rPr>
          <w:rFonts w:ascii="黑体" w:eastAsia="黑体" w:hAnsi="黑体"/>
          <w:szCs w:val="21"/>
        </w:rPr>
      </w:pPr>
      <w:r>
        <w:rPr>
          <w:rFonts w:ascii="黑体" w:eastAsia="黑体" w:hAnsi="黑体" w:hint="eastAsia"/>
          <w:szCs w:val="21"/>
        </w:rPr>
        <w:t>五、试点中职学校（</w:t>
      </w:r>
      <w:r>
        <w:rPr>
          <w:rFonts w:ascii="黑体" w:eastAsia="黑体" w:hAnsi="黑体" w:hint="eastAsia"/>
          <w:szCs w:val="21"/>
        </w:rPr>
        <w:t>38</w:t>
      </w:r>
      <w:r>
        <w:rPr>
          <w:rFonts w:ascii="黑体" w:eastAsia="黑体" w:hAnsi="黑体" w:hint="eastAsia"/>
          <w:szCs w:val="21"/>
        </w:rPr>
        <w:t>所）</w:t>
      </w:r>
    </w:p>
    <w:tbl>
      <w:tblPr>
        <w:tblW w:w="8472" w:type="dxa"/>
        <w:tblLayout w:type="fixed"/>
        <w:tblLook w:val="04A0" w:firstRow="1" w:lastRow="0" w:firstColumn="1" w:lastColumn="0" w:noHBand="0" w:noVBand="1"/>
      </w:tblPr>
      <w:tblGrid>
        <w:gridCol w:w="8472"/>
      </w:tblGrid>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北京市电气工程学校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河北省科技工程学校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lastRenderedPageBreak/>
              <w:t>衡水市职业技术教育中心</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石家庄工程技术学校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唐山市第一职业中等专业学校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山西省忻州市原平农业学校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大连市轻工业学校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哈尔滨轻工业学校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上海海事大学附属职业技术学校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上海市杨浦职业技术学校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上海信息技术学校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proofErr w:type="gramStart"/>
            <w:r>
              <w:rPr>
                <w:rFonts w:ascii="仿宋_GB2312" w:eastAsia="仿宋_GB2312" w:hint="eastAsia"/>
                <w:color w:val="000000"/>
                <w:szCs w:val="21"/>
              </w:rPr>
              <w:t>常州刘</w:t>
            </w:r>
            <w:proofErr w:type="gramEnd"/>
            <w:r>
              <w:rPr>
                <w:rFonts w:ascii="仿宋_GB2312" w:eastAsia="仿宋_GB2312" w:hint="eastAsia"/>
                <w:color w:val="000000"/>
                <w:szCs w:val="21"/>
              </w:rPr>
              <w:t>国钧高等职业技术学校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江苏省常熟中等专业学校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江苏省太仓中等专业学校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南京金陵中等专业学校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盐城机电高等职业技术学校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绍兴市柯桥区职业教育中心</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安徽金寨职业学校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河南信息工程学校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湖北十堰职业技术（集团）学校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醴陵市陶瓷烟花职业技术学校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佛山市顺德区陈</w:t>
            </w:r>
            <w:proofErr w:type="gramStart"/>
            <w:r>
              <w:rPr>
                <w:rFonts w:ascii="仿宋_GB2312" w:eastAsia="仿宋_GB2312" w:hint="eastAsia"/>
                <w:color w:val="000000"/>
                <w:szCs w:val="21"/>
              </w:rPr>
              <w:t>村职业</w:t>
            </w:r>
            <w:proofErr w:type="gramEnd"/>
            <w:r>
              <w:rPr>
                <w:rFonts w:ascii="仿宋_GB2312" w:eastAsia="仿宋_GB2312" w:hint="eastAsia"/>
                <w:color w:val="000000"/>
                <w:szCs w:val="21"/>
              </w:rPr>
              <w:t>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广东省食品药品职业技术学校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重庆市江南职业学校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重庆市农业学校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重庆市渝北职业教育中心</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攀枝花市华森职业学校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首钢水城钢铁（集团）责任有限公司中等专业学校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凤冈县中等职业学校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鹤庆县职业高级中学</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拉萨市第二中等职业技术学校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陕西省电子信息学校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天水市职业技术学校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西宁市第一职业技术学校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阜康市职业中等专业学校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奇台中等职业技术学校</w:t>
            </w:r>
          </w:p>
        </w:tc>
      </w:tr>
      <w:tr w:rsidR="006337CC">
        <w:trPr>
          <w:trHeight w:val="288"/>
        </w:trPr>
        <w:tc>
          <w:tcPr>
            <w:tcW w:w="8472" w:type="dxa"/>
            <w:shd w:val="clear" w:color="000000" w:fill="FFFFFF"/>
            <w:vAlign w:val="center"/>
          </w:tcPr>
          <w:p w:rsidR="006337CC" w:rsidRDefault="00712BEC">
            <w:pPr>
              <w:widowControl/>
              <w:spacing w:line="560" w:lineRule="exact"/>
              <w:ind w:firstLineChars="200" w:firstLine="420"/>
              <w:jc w:val="left"/>
              <w:rPr>
                <w:rFonts w:ascii="仿宋_GB2312" w:eastAsia="仿宋_GB2312" w:hAnsi="宋体" w:cs="宋体"/>
                <w:color w:val="000000"/>
                <w:kern w:val="0"/>
                <w:szCs w:val="21"/>
              </w:rPr>
            </w:pPr>
            <w:r>
              <w:rPr>
                <w:rFonts w:ascii="仿宋_GB2312" w:eastAsia="仿宋_GB2312" w:hint="eastAsia"/>
                <w:color w:val="000000"/>
                <w:szCs w:val="21"/>
              </w:rPr>
              <w:t>新疆安装工程学校</w:t>
            </w:r>
          </w:p>
        </w:tc>
      </w:tr>
      <w:tr w:rsidR="006337CC">
        <w:trPr>
          <w:trHeight w:val="288"/>
        </w:trPr>
        <w:tc>
          <w:tcPr>
            <w:tcW w:w="8472" w:type="dxa"/>
            <w:shd w:val="clear" w:color="000000" w:fill="FFFFFF"/>
            <w:vAlign w:val="center"/>
          </w:tcPr>
          <w:p w:rsidR="006337CC" w:rsidRDefault="00712BEC">
            <w:pPr>
              <w:widowControl/>
              <w:spacing w:line="560" w:lineRule="exact"/>
              <w:ind w:rightChars="-1042" w:right="-2188"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新疆生产建设兵团</w:t>
            </w:r>
            <w:proofErr w:type="gramStart"/>
            <w:r>
              <w:rPr>
                <w:rFonts w:ascii="仿宋_GB2312" w:eastAsia="仿宋_GB2312" w:hAnsi="宋体" w:cs="宋体" w:hint="eastAsia"/>
                <w:color w:val="000000"/>
                <w:kern w:val="0"/>
                <w:szCs w:val="21"/>
              </w:rPr>
              <w:t>第三师图木</w:t>
            </w:r>
            <w:proofErr w:type="gramEnd"/>
            <w:r>
              <w:rPr>
                <w:rFonts w:ascii="仿宋_GB2312" w:eastAsia="仿宋_GB2312" w:hAnsi="宋体" w:cs="宋体" w:hint="eastAsia"/>
                <w:color w:val="000000"/>
                <w:kern w:val="0"/>
                <w:szCs w:val="21"/>
              </w:rPr>
              <w:t>舒克职业技术学校</w:t>
            </w:r>
          </w:p>
        </w:tc>
      </w:tr>
    </w:tbl>
    <w:p w:rsidR="006337CC" w:rsidRDefault="006337CC">
      <w:pPr>
        <w:ind w:firstLineChars="200" w:firstLine="420"/>
        <w:jc w:val="left"/>
        <w:rPr>
          <w:rFonts w:asciiTheme="minorEastAsia" w:hAnsiTheme="minorEastAsia"/>
        </w:rPr>
      </w:pPr>
    </w:p>
    <w:p w:rsidR="006337CC" w:rsidRDefault="006337CC">
      <w:pPr>
        <w:ind w:firstLineChars="200" w:firstLine="420"/>
        <w:jc w:val="left"/>
        <w:rPr>
          <w:rFonts w:asciiTheme="minorEastAsia" w:hAnsiTheme="minorEastAsia"/>
        </w:rPr>
      </w:pPr>
    </w:p>
    <w:p w:rsidR="006337CC" w:rsidRDefault="006337CC">
      <w:pPr>
        <w:ind w:firstLineChars="200" w:firstLine="420"/>
        <w:jc w:val="left"/>
        <w:rPr>
          <w:rFonts w:asciiTheme="minorEastAsia" w:hAnsiTheme="minorEastAsia"/>
        </w:rPr>
      </w:pPr>
    </w:p>
    <w:p w:rsidR="006337CC" w:rsidRDefault="00712BEC">
      <w:pPr>
        <w:ind w:firstLineChars="200" w:firstLine="420"/>
        <w:jc w:val="right"/>
        <w:rPr>
          <w:rFonts w:asciiTheme="minorEastAsia" w:hAnsiTheme="minorEastAsia"/>
        </w:rPr>
      </w:pPr>
      <w:r>
        <w:rPr>
          <w:rFonts w:asciiTheme="minorEastAsia" w:hAnsiTheme="minorEastAsia"/>
        </w:rPr>
        <w:t>医学技术系</w:t>
      </w:r>
    </w:p>
    <w:p w:rsidR="006337CC" w:rsidRDefault="00712BEC">
      <w:pPr>
        <w:ind w:firstLineChars="200" w:firstLine="420"/>
        <w:jc w:val="right"/>
        <w:rPr>
          <w:rFonts w:asciiTheme="minorEastAsia" w:hAnsiTheme="minorEastAsia"/>
        </w:rPr>
      </w:pPr>
      <w:r>
        <w:rPr>
          <w:rFonts w:asciiTheme="minorEastAsia" w:hAnsiTheme="minorEastAsia"/>
        </w:rPr>
        <w:t>2017</w:t>
      </w:r>
      <w:r>
        <w:rPr>
          <w:rFonts w:asciiTheme="minorEastAsia" w:hAnsiTheme="minorEastAsia"/>
        </w:rPr>
        <w:t>年</w:t>
      </w:r>
      <w:r>
        <w:rPr>
          <w:rFonts w:asciiTheme="minorEastAsia" w:hAnsiTheme="minorEastAsia"/>
        </w:rPr>
        <w:t>9</w:t>
      </w:r>
      <w:r>
        <w:rPr>
          <w:rFonts w:asciiTheme="minorEastAsia" w:hAnsiTheme="minorEastAsia"/>
        </w:rPr>
        <w:t>月</w:t>
      </w:r>
      <w:r>
        <w:rPr>
          <w:rFonts w:asciiTheme="minorEastAsia" w:hAnsiTheme="minorEastAsia"/>
        </w:rPr>
        <w:t>12</w:t>
      </w:r>
      <w:r>
        <w:rPr>
          <w:rFonts w:asciiTheme="minorEastAsia" w:hAnsiTheme="minorEastAsia"/>
        </w:rPr>
        <w:t>日</w:t>
      </w:r>
    </w:p>
    <w:sectPr w:rsidR="006337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74"/>
    <w:rsid w:val="00147DB6"/>
    <w:rsid w:val="00542202"/>
    <w:rsid w:val="006337CC"/>
    <w:rsid w:val="00693967"/>
    <w:rsid w:val="00712BEC"/>
    <w:rsid w:val="00C03A28"/>
    <w:rsid w:val="00C14474"/>
    <w:rsid w:val="14E420CF"/>
    <w:rsid w:val="413B0323"/>
    <w:rsid w:val="55F963D0"/>
    <w:rsid w:val="56A3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712BEC"/>
    <w:rPr>
      <w:sz w:val="18"/>
      <w:szCs w:val="18"/>
    </w:rPr>
  </w:style>
  <w:style w:type="character" w:customStyle="1" w:styleId="Char">
    <w:name w:val="批注框文本 Char"/>
    <w:basedOn w:val="a0"/>
    <w:link w:val="a5"/>
    <w:uiPriority w:val="99"/>
    <w:semiHidden/>
    <w:rsid w:val="00712BE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712BEC"/>
    <w:rPr>
      <w:sz w:val="18"/>
      <w:szCs w:val="18"/>
    </w:rPr>
  </w:style>
  <w:style w:type="character" w:customStyle="1" w:styleId="Char">
    <w:name w:val="批注框文本 Char"/>
    <w:basedOn w:val="a0"/>
    <w:link w:val="a5"/>
    <w:uiPriority w:val="99"/>
    <w:semiHidden/>
    <w:rsid w:val="00712B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2957</Characters>
  <Application>Microsoft Office Word</Application>
  <DocSecurity>0</DocSecurity>
  <Lines>24</Lines>
  <Paragraphs>6</Paragraphs>
  <ScaleCrop>false</ScaleCrop>
  <Company>www.6-6.cn</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dc:creator>
  <cp:lastModifiedBy>fzy_qjyz</cp:lastModifiedBy>
  <cp:revision>4</cp:revision>
  <dcterms:created xsi:type="dcterms:W3CDTF">2017-09-12T12:29:00Z</dcterms:created>
  <dcterms:modified xsi:type="dcterms:W3CDTF">2017-09-14T02:55:00Z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